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89AD6" w14:textId="24C0F493" w:rsidR="00334BDB" w:rsidRPr="00752341" w:rsidRDefault="00334BDB" w:rsidP="00334BD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752341">
        <w:rPr>
          <w:rFonts w:ascii="Times New Roman" w:hAnsi="Times New Roman" w:cs="Times New Roman"/>
          <w:sz w:val="24"/>
          <w:szCs w:val="24"/>
        </w:rPr>
        <w:t>Приложение №</w:t>
      </w:r>
      <w:r w:rsidR="006919A5">
        <w:rPr>
          <w:rFonts w:ascii="Times New Roman" w:hAnsi="Times New Roman" w:cs="Times New Roman"/>
          <w:sz w:val="24"/>
          <w:szCs w:val="24"/>
        </w:rPr>
        <w:t>16</w:t>
      </w:r>
    </w:p>
    <w:p w14:paraId="3448FB54" w14:textId="5EED0451" w:rsidR="00334BDB" w:rsidRPr="00752341" w:rsidRDefault="00334BDB" w:rsidP="00334BD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752341">
        <w:rPr>
          <w:rFonts w:ascii="Times New Roman" w:hAnsi="Times New Roman" w:cs="Times New Roman"/>
          <w:sz w:val="24"/>
          <w:szCs w:val="24"/>
        </w:rPr>
        <w:t xml:space="preserve"> Тарифному соглашению на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377A2A">
        <w:rPr>
          <w:rFonts w:ascii="Times New Roman" w:hAnsi="Times New Roman" w:cs="Times New Roman"/>
          <w:sz w:val="24"/>
          <w:szCs w:val="24"/>
        </w:rPr>
        <w:t>6</w:t>
      </w:r>
      <w:r w:rsidRPr="00752341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6EDE9B75" w14:textId="77777777" w:rsidR="00334BDB" w:rsidRDefault="00334BDB" w:rsidP="00334BDB"/>
    <w:p w14:paraId="6CFEBE74" w14:textId="2971879E" w:rsidR="00334BDB" w:rsidRPr="00D168AB" w:rsidRDefault="00334BDB" w:rsidP="00334B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168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</w:t>
      </w:r>
      <w:r w:rsidRPr="00D168AB">
        <w:rPr>
          <w:rFonts w:ascii="Times New Roman" w:hAnsi="Times New Roman"/>
          <w:b/>
          <w:sz w:val="24"/>
          <w:szCs w:val="24"/>
        </w:rPr>
        <w:t>оплаты медицинской помощи, оказываемой по всем видам и условиям, по подушевому нормативу финансирования на прикрепившихся лиц, с учетом показателей результативности деятельности медицинской организации (включая показали объема медицинской помощи), на 202</w:t>
      </w:r>
      <w:r w:rsidR="00377A2A">
        <w:rPr>
          <w:rFonts w:ascii="Times New Roman" w:hAnsi="Times New Roman"/>
          <w:b/>
          <w:sz w:val="24"/>
          <w:szCs w:val="24"/>
        </w:rPr>
        <w:t>6</w:t>
      </w:r>
      <w:r w:rsidRPr="00D168AB">
        <w:rPr>
          <w:rFonts w:ascii="Times New Roman" w:hAnsi="Times New Roman"/>
          <w:b/>
          <w:sz w:val="24"/>
          <w:szCs w:val="24"/>
        </w:rPr>
        <w:t xml:space="preserve"> год</w:t>
      </w:r>
    </w:p>
    <w:p w14:paraId="03DD582A" w14:textId="77777777" w:rsidR="00334BDB" w:rsidRDefault="00334BDB" w:rsidP="00334BDB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14:paraId="5D8BE5A6" w14:textId="74925E17" w:rsidR="00334BDB" w:rsidRDefault="00334BDB" w:rsidP="00334B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52341">
        <w:rPr>
          <w:rFonts w:ascii="Times New Roman" w:hAnsi="Times New Roman"/>
          <w:sz w:val="28"/>
          <w:szCs w:val="28"/>
        </w:rPr>
        <w:t>Настоящий Порядок определяет расчет размера подушевого норматива финансирования на прикрепившихся лиц и выплат за выполнение показателей результативности деятельности медицинским организациям, имеющим прикрепившихся лиц и оказывающим медицинскую помощь в амбулаторных, стационарных условиях и в условиях дневного стационара в 20</w:t>
      </w:r>
      <w:r>
        <w:rPr>
          <w:rFonts w:ascii="Times New Roman" w:hAnsi="Times New Roman"/>
          <w:sz w:val="28"/>
          <w:szCs w:val="28"/>
        </w:rPr>
        <w:t>2</w:t>
      </w:r>
      <w:r w:rsidR="00377A2A">
        <w:rPr>
          <w:rFonts w:ascii="Times New Roman" w:hAnsi="Times New Roman"/>
          <w:sz w:val="28"/>
          <w:szCs w:val="28"/>
        </w:rPr>
        <w:t>6</w:t>
      </w:r>
      <w:r w:rsidRPr="00752341">
        <w:rPr>
          <w:rFonts w:ascii="Times New Roman" w:hAnsi="Times New Roman"/>
          <w:sz w:val="28"/>
          <w:szCs w:val="28"/>
        </w:rPr>
        <w:t xml:space="preserve"> году.</w:t>
      </w:r>
    </w:p>
    <w:p w14:paraId="5AF5F974" w14:textId="3AC14D1C" w:rsidR="00334BDB" w:rsidRDefault="00334BDB" w:rsidP="00334B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Подушевой норматив финансирования на прикрепившихся лиц для медицинской организации складывается из рассчитанного фактического дифференцированного подушевого норматива финансирования на прикрепившихся лиц для данной медицинской организации, включающего медицинскую помощь в неотложной форме, а также объем средств на финансовое обеспечение медицинской помощи в стационарных условиях и в условиях дневного стационара.</w:t>
      </w:r>
    </w:p>
    <w:p w14:paraId="296FC36A" w14:textId="77777777" w:rsidR="00334BDB" w:rsidRPr="00752341" w:rsidRDefault="00334BDB" w:rsidP="00334B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Коэффициент дифференциации подушевого норматива определяется по каждой медицинской организации с учетом половозрастного коэффициента дифференциации, рассчитанного для соответствующей МО, коэффициента уровня </w:t>
      </w:r>
      <w:r w:rsidRPr="00310D7E">
        <w:rPr>
          <w:rFonts w:ascii="Times New Roman" w:hAnsi="Times New Roman"/>
          <w:sz w:val="28"/>
          <w:szCs w:val="28"/>
        </w:rPr>
        <w:t>расходов медицинских организаций</w:t>
      </w:r>
      <w:r>
        <w:rPr>
          <w:rFonts w:ascii="Times New Roman" w:hAnsi="Times New Roman"/>
          <w:sz w:val="28"/>
          <w:szCs w:val="28"/>
        </w:rPr>
        <w:t>, к</w:t>
      </w:r>
      <w:r w:rsidRPr="00310D7E">
        <w:rPr>
          <w:rFonts w:ascii="Times New Roman" w:hAnsi="Times New Roman"/>
          <w:sz w:val="28"/>
          <w:szCs w:val="28"/>
        </w:rPr>
        <w:t>оэффициент</w:t>
      </w:r>
      <w:r>
        <w:rPr>
          <w:rFonts w:ascii="Times New Roman" w:hAnsi="Times New Roman"/>
          <w:sz w:val="28"/>
          <w:szCs w:val="28"/>
        </w:rPr>
        <w:t>а</w:t>
      </w:r>
      <w:r w:rsidRPr="00310D7E">
        <w:rPr>
          <w:rFonts w:ascii="Times New Roman" w:hAnsi="Times New Roman"/>
          <w:sz w:val="28"/>
          <w:szCs w:val="28"/>
        </w:rPr>
        <w:t xml:space="preserve"> достижения целевых показателей уровня заработной платы медицинских работников, установленных "дорожными картами" развития здравоохранения РТ</w:t>
      </w:r>
      <w:r>
        <w:rPr>
          <w:rFonts w:ascii="Times New Roman" w:hAnsi="Times New Roman"/>
          <w:sz w:val="28"/>
          <w:szCs w:val="28"/>
        </w:rPr>
        <w:t>, к</w:t>
      </w:r>
      <w:r w:rsidRPr="00310D7E">
        <w:rPr>
          <w:rFonts w:ascii="Times New Roman" w:hAnsi="Times New Roman"/>
          <w:sz w:val="28"/>
          <w:szCs w:val="28"/>
        </w:rPr>
        <w:t>оэффициент</w:t>
      </w:r>
      <w:r>
        <w:rPr>
          <w:rFonts w:ascii="Times New Roman" w:hAnsi="Times New Roman"/>
          <w:sz w:val="28"/>
          <w:szCs w:val="28"/>
        </w:rPr>
        <w:t>а</w:t>
      </w:r>
      <w:r w:rsidRPr="00310D7E">
        <w:rPr>
          <w:rFonts w:ascii="Times New Roman" w:hAnsi="Times New Roman"/>
          <w:sz w:val="28"/>
          <w:szCs w:val="28"/>
        </w:rPr>
        <w:t xml:space="preserve"> дифференциации на прикрепившихся к медицинской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0D7E">
        <w:rPr>
          <w:rFonts w:ascii="Times New Roman" w:hAnsi="Times New Roman"/>
          <w:sz w:val="28"/>
          <w:szCs w:val="28"/>
        </w:rPr>
        <w:t>организации лиц с учетом наличия подразделений, расположенных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0D7E">
        <w:rPr>
          <w:rFonts w:ascii="Times New Roman" w:hAnsi="Times New Roman"/>
          <w:sz w:val="28"/>
          <w:szCs w:val="28"/>
        </w:rPr>
        <w:t>в сельской местности, отдаленных территориях, поселках городского типа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0D7E">
        <w:rPr>
          <w:rFonts w:ascii="Times New Roman" w:hAnsi="Times New Roman"/>
          <w:sz w:val="28"/>
          <w:szCs w:val="28"/>
        </w:rPr>
        <w:t>и малых городах с численностью населения до 50 тысяч человек, и расходов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0D7E">
        <w:rPr>
          <w:rFonts w:ascii="Times New Roman" w:hAnsi="Times New Roman"/>
          <w:sz w:val="28"/>
          <w:szCs w:val="28"/>
        </w:rPr>
        <w:t>на их содержание и оплату труда персонала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3FA87F0B" w14:textId="77777777" w:rsidR="00334BDB" w:rsidRPr="00752341" w:rsidRDefault="00334BDB" w:rsidP="00334B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2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Размер </w:t>
      </w:r>
      <w:r w:rsidRPr="00752341">
        <w:rPr>
          <w:rFonts w:ascii="Times New Roman" w:eastAsia="Calibri" w:hAnsi="Times New Roman" w:cs="Times New Roman"/>
          <w:sz w:val="28"/>
          <w:szCs w:val="28"/>
        </w:rPr>
        <w:t xml:space="preserve">подушевого норматива финансирования </w:t>
      </w:r>
      <w:r w:rsidRPr="00752341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Pr="00752341">
        <w:rPr>
          <w:rFonts w:ascii="Times New Roman" w:eastAsia="Calibri" w:hAnsi="Times New Roman" w:cs="Times New Roman"/>
          <w:sz w:val="28"/>
          <w:szCs w:val="28"/>
        </w:rPr>
        <w:t xml:space="preserve"> на прикрепившихся лиц (</w:t>
      </w:r>
      <w:proofErr w:type="spellStart"/>
      <w:r w:rsidRPr="00752341">
        <w:rPr>
          <w:rFonts w:ascii="Times New Roman" w:eastAsia="Calibri" w:hAnsi="Times New Roman" w:cs="Times New Roman"/>
          <w:b/>
          <w:sz w:val="28"/>
          <w:szCs w:val="28"/>
        </w:rPr>
        <w:t>ПДНмо</w:t>
      </w:r>
      <w:proofErr w:type="spellEnd"/>
      <w:r w:rsidRPr="00752341">
        <w:rPr>
          <w:rFonts w:ascii="Times New Roman" w:eastAsia="Calibri" w:hAnsi="Times New Roman" w:cs="Times New Roman"/>
          <w:sz w:val="28"/>
          <w:szCs w:val="28"/>
        </w:rPr>
        <w:t>) определяется по формуле:</w:t>
      </w:r>
    </w:p>
    <w:p w14:paraId="3E1E920D" w14:textId="77777777" w:rsidR="00334BDB" w:rsidRPr="00752341" w:rsidRDefault="00334BDB" w:rsidP="00334BDB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34"/>
        <w:gridCol w:w="1872"/>
        <w:gridCol w:w="908"/>
      </w:tblGrid>
      <w:tr w:rsidR="00334BDB" w:rsidRPr="00752341" w14:paraId="33DEE6C1" w14:textId="77777777" w:rsidTr="004531B2">
        <w:trPr>
          <w:jc w:val="center"/>
        </w:trPr>
        <w:tc>
          <w:tcPr>
            <w:tcW w:w="1734" w:type="dxa"/>
            <w:vMerge w:val="restart"/>
            <w:shd w:val="clear" w:color="auto" w:fill="auto"/>
            <w:vAlign w:val="center"/>
          </w:tcPr>
          <w:p w14:paraId="35D5DA62" w14:textId="77777777" w:rsidR="00334BDB" w:rsidRPr="00752341" w:rsidRDefault="00334BDB" w:rsidP="004531B2">
            <w:pPr>
              <w:tabs>
                <w:tab w:val="left" w:pos="851"/>
              </w:tabs>
              <w:spacing w:after="0" w:line="240" w:lineRule="auto"/>
              <w:ind w:right="-17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52341">
              <w:rPr>
                <w:rFonts w:ascii="Times New Roman" w:eastAsia="Calibri" w:hAnsi="Times New Roman" w:cs="Times New Roman"/>
                <w:sz w:val="28"/>
                <w:szCs w:val="28"/>
              </w:rPr>
              <w:t>ПДНмо</w:t>
            </w:r>
            <w:proofErr w:type="spellEnd"/>
            <w:r w:rsidRPr="007523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=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</w:tcPr>
          <w:p w14:paraId="6827BD63" w14:textId="77777777" w:rsidR="00334BDB" w:rsidRPr="00752341" w:rsidRDefault="00334BDB" w:rsidP="004531B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∑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рфо</w:t>
            </w:r>
            <w:proofErr w:type="spellEnd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- ∑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впр</w:t>
            </w:r>
            <w:proofErr w:type="spellEnd"/>
          </w:p>
        </w:tc>
        <w:tc>
          <w:tcPr>
            <w:tcW w:w="908" w:type="dxa"/>
            <w:vMerge w:val="restart"/>
            <w:shd w:val="clear" w:color="auto" w:fill="auto"/>
            <w:vAlign w:val="center"/>
          </w:tcPr>
          <w:p w14:paraId="57996C5C" w14:textId="77777777" w:rsidR="00334BDB" w:rsidRPr="00752341" w:rsidRDefault="00334BDB" w:rsidP="004531B2">
            <w:pPr>
              <w:tabs>
                <w:tab w:val="left" w:pos="851"/>
              </w:tabs>
              <w:spacing w:after="0" w:line="240" w:lineRule="auto"/>
              <w:ind w:left="-925" w:firstLine="70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/ 12, </w:t>
            </w:r>
          </w:p>
        </w:tc>
      </w:tr>
      <w:tr w:rsidR="00334BDB" w:rsidRPr="00752341" w14:paraId="0DD0AA4D" w14:textId="77777777" w:rsidTr="004531B2">
        <w:trPr>
          <w:jc w:val="center"/>
        </w:trPr>
        <w:tc>
          <w:tcPr>
            <w:tcW w:w="1734" w:type="dxa"/>
            <w:vMerge/>
            <w:shd w:val="clear" w:color="auto" w:fill="auto"/>
          </w:tcPr>
          <w:p w14:paraId="09475215" w14:textId="77777777" w:rsidR="00334BDB" w:rsidRPr="00752341" w:rsidRDefault="00334BDB" w:rsidP="004531B2">
            <w:pPr>
              <w:tabs>
                <w:tab w:val="left" w:pos="851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</w:tcPr>
          <w:p w14:paraId="1024AC8D" w14:textId="77777777" w:rsidR="00334BDB" w:rsidRPr="00752341" w:rsidRDefault="00334BDB" w:rsidP="004531B2">
            <w:pPr>
              <w:tabs>
                <w:tab w:val="left" w:pos="851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Чзпр</w:t>
            </w:r>
            <w:proofErr w:type="spellEnd"/>
          </w:p>
        </w:tc>
        <w:tc>
          <w:tcPr>
            <w:tcW w:w="908" w:type="dxa"/>
            <w:vMerge/>
            <w:shd w:val="clear" w:color="auto" w:fill="auto"/>
          </w:tcPr>
          <w:p w14:paraId="69FC442F" w14:textId="77777777" w:rsidR="00334BDB" w:rsidRPr="00752341" w:rsidRDefault="00334BDB" w:rsidP="004531B2">
            <w:pPr>
              <w:tabs>
                <w:tab w:val="left" w:pos="851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1921FCAE" w14:textId="77777777" w:rsidR="00334BDB" w:rsidRPr="00752341" w:rsidRDefault="00334BDB" w:rsidP="00334BD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23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7"/>
        <w:gridCol w:w="8011"/>
      </w:tblGrid>
      <w:tr w:rsidR="00334BDB" w:rsidRPr="00752341" w14:paraId="592A7958" w14:textId="77777777" w:rsidTr="004531B2">
        <w:trPr>
          <w:trHeight w:val="1074"/>
        </w:trPr>
        <w:tc>
          <w:tcPr>
            <w:tcW w:w="1668" w:type="dxa"/>
          </w:tcPr>
          <w:p w14:paraId="47E7553C" w14:textId="77777777" w:rsidR="00334BDB" w:rsidRPr="00752341" w:rsidRDefault="00334BDB" w:rsidP="004531B2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∑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рфо</w:t>
            </w:r>
            <w:proofErr w:type="spellEnd"/>
          </w:p>
        </w:tc>
        <w:tc>
          <w:tcPr>
            <w:tcW w:w="8329" w:type="dxa"/>
          </w:tcPr>
          <w:p w14:paraId="10BDB737" w14:textId="77777777" w:rsidR="00334BDB" w:rsidRPr="00752341" w:rsidRDefault="00334BDB" w:rsidP="004531B2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расчетный размер финансового обеспечения распределенных объемов предоставления медицинской помощи</w:t>
            </w:r>
            <w:r w:rsidRPr="00752341">
              <w:rPr>
                <w:rFonts w:ascii="Times New Roman" w:eastAsia="Calibri" w:hAnsi="Times New Roman" w:cs="Times New Roman"/>
                <w:sz w:val="26"/>
                <w:szCs w:val="26"/>
              </w:rPr>
              <w:t>, оказываемой по всем видам и условиям на 20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24</w:t>
            </w:r>
            <w:r w:rsidRPr="0075234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год;</w:t>
            </w:r>
          </w:p>
        </w:tc>
      </w:tr>
      <w:tr w:rsidR="00334BDB" w:rsidRPr="00752341" w14:paraId="5071A4C3" w14:textId="77777777" w:rsidTr="004531B2">
        <w:trPr>
          <w:trHeight w:val="706"/>
        </w:trPr>
        <w:tc>
          <w:tcPr>
            <w:tcW w:w="1668" w:type="dxa"/>
          </w:tcPr>
          <w:p w14:paraId="4D7DFFEE" w14:textId="77777777" w:rsidR="00334BDB" w:rsidRPr="00752341" w:rsidRDefault="00334BDB" w:rsidP="004531B2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∑</w:t>
            </w: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впр</w:t>
            </w:r>
            <w:proofErr w:type="spellEnd"/>
          </w:p>
        </w:tc>
        <w:tc>
          <w:tcPr>
            <w:tcW w:w="8329" w:type="dxa"/>
          </w:tcPr>
          <w:p w14:paraId="75D03AEE" w14:textId="1A116F6C" w:rsidR="00334BDB" w:rsidRPr="00752341" w:rsidRDefault="00334BDB" w:rsidP="004531B2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сумма </w:t>
            </w:r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 за выполнение показателей результативности деятельности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 01.01.202</w:t>
            </w:r>
            <w:r w:rsidR="00377A2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</w:tc>
      </w:tr>
      <w:tr w:rsidR="00334BDB" w:rsidRPr="00752341" w14:paraId="1FD0CA3E" w14:textId="77777777" w:rsidTr="004531B2">
        <w:trPr>
          <w:trHeight w:val="405"/>
        </w:trPr>
        <w:tc>
          <w:tcPr>
            <w:tcW w:w="1668" w:type="dxa"/>
          </w:tcPr>
          <w:p w14:paraId="32CAA0B0" w14:textId="77777777" w:rsidR="00334BDB" w:rsidRPr="00752341" w:rsidRDefault="00334BDB" w:rsidP="004531B2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5234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Чзпр</w:t>
            </w:r>
            <w:proofErr w:type="spellEnd"/>
          </w:p>
        </w:tc>
        <w:tc>
          <w:tcPr>
            <w:tcW w:w="8329" w:type="dxa"/>
          </w:tcPr>
          <w:p w14:paraId="22833D3B" w14:textId="77777777" w:rsidR="00334BDB" w:rsidRPr="00752341" w:rsidRDefault="00334BDB" w:rsidP="004531B2">
            <w:pPr>
              <w:tabs>
                <w:tab w:val="left" w:pos="851"/>
              </w:tabs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численность застрахованных прикрепленных лиц;</w:t>
            </w:r>
          </w:p>
        </w:tc>
      </w:tr>
      <w:tr w:rsidR="00334BDB" w:rsidRPr="00752341" w14:paraId="0DAF2394" w14:textId="77777777" w:rsidTr="004531B2">
        <w:tc>
          <w:tcPr>
            <w:tcW w:w="1668" w:type="dxa"/>
          </w:tcPr>
          <w:p w14:paraId="27EB5CC7" w14:textId="77777777" w:rsidR="00334BDB" w:rsidRPr="00752341" w:rsidRDefault="00334BDB" w:rsidP="004531B2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329" w:type="dxa"/>
          </w:tcPr>
          <w:p w14:paraId="0B53173D" w14:textId="77777777" w:rsidR="00334BDB" w:rsidRPr="00752341" w:rsidRDefault="00334BDB" w:rsidP="004531B2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523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число месяцев в году.</w:t>
            </w:r>
          </w:p>
        </w:tc>
      </w:tr>
    </w:tbl>
    <w:p w14:paraId="12F4A2E2" w14:textId="77777777" w:rsidR="00334BDB" w:rsidRPr="00752341" w:rsidRDefault="00334BDB" w:rsidP="00334BD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1981D5" w14:textId="712C39D9" w:rsidR="00334BDB" w:rsidRPr="00EC301A" w:rsidRDefault="00334BDB" w:rsidP="00334B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 </w:t>
      </w:r>
      <w:r w:rsidRPr="00EC301A">
        <w:rPr>
          <w:rFonts w:ascii="Times New Roman" w:eastAsia="Calibri" w:hAnsi="Times New Roman" w:cs="Times New Roman"/>
          <w:sz w:val="28"/>
          <w:szCs w:val="28"/>
        </w:rPr>
        <w:t xml:space="preserve">Базовый подушевого норматива финансирования на прикрепившихся лиц, включая оплату медицинской помощи по всем видам и условиям предоставления медицинской помощи с учетом показателей результативности деятельности медицинской организации (включая показатели объема медицинской помощи) включают расходы на оплату медицинской помощи в рамках базовой программы обязательного медицинского страхования, в том числе доврачебную, врачебную медико-санитарную помощь, первичную специализированную медико-санитарную помощь, организационную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расходы на медицинскую помощь, оказываемую в неотложной форме, расходы на оплату с применением телемедицинских технологий, а также специализированную медицинскую помощь в соответствии с установленной единицей объема медицинской помощи – случай госпитализации, случай лечения в дневном стационаре, а также расходы на оплату консультаций медицинским психологом женщин в период беременности, родов и послеродовой период по вопросам, связанным с имеющимся заболеванием и (или) состоянием, включенным в базовую программу ОМС, за исключением расходов на проведение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 а также средств на оплату диспансерного наблюдения, включая диспансерное наблюдение работающих граждан, отдельных диагностических лабораторных исследований (проведение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</w:t>
      </w:r>
      <w:proofErr w:type="spellStart"/>
      <w:r w:rsidRPr="00EC301A">
        <w:rPr>
          <w:rFonts w:ascii="Times New Roman" w:eastAsia="Calibri" w:hAnsi="Times New Roman" w:cs="Times New Roman"/>
          <w:sz w:val="28"/>
          <w:szCs w:val="28"/>
        </w:rPr>
        <w:t>биопсийного</w:t>
      </w:r>
      <w:proofErr w:type="spellEnd"/>
      <w:r w:rsidRPr="00EC301A">
        <w:rPr>
          <w:rFonts w:ascii="Times New Roman" w:eastAsia="Calibri" w:hAnsi="Times New Roman" w:cs="Times New Roman"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патолого-анатомические исследования </w:t>
      </w:r>
      <w:proofErr w:type="spellStart"/>
      <w:r w:rsidRPr="00EC301A">
        <w:rPr>
          <w:rFonts w:ascii="Times New Roman" w:eastAsia="Calibri" w:hAnsi="Times New Roman" w:cs="Times New Roman"/>
          <w:sz w:val="28"/>
          <w:szCs w:val="28"/>
        </w:rPr>
        <w:t>биопсийного</w:t>
      </w:r>
      <w:proofErr w:type="spellEnd"/>
      <w:r w:rsidRPr="00EC301A">
        <w:rPr>
          <w:rFonts w:ascii="Times New Roman" w:eastAsia="Calibri" w:hAnsi="Times New Roman" w:cs="Times New Roman"/>
          <w:sz w:val="28"/>
          <w:szCs w:val="28"/>
        </w:rPr>
        <w:t xml:space="preserve"> (операционного) материала, </w:t>
      </w:r>
      <w:r w:rsidR="006919A5" w:rsidRPr="006919A5">
        <w:rPr>
          <w:rFonts w:ascii="Times New Roman" w:eastAsia="Calibri" w:hAnsi="Times New Roman" w:cs="Times New Roman"/>
          <w:sz w:val="28"/>
          <w:szCs w:val="28"/>
        </w:rPr>
        <w:t xml:space="preserve">позитронной эмиссионной томографии и (или) позитронной эмиссионной томографии, совмещенной с компьютерной томографией, однофотонной эмиссионной компьютерной томографии и (или) однофотонной эмиссионной компьютерной томографии, совмещенной с компьютерной томографией, включая все виды </w:t>
      </w:r>
      <w:proofErr w:type="spellStart"/>
      <w:r w:rsidR="006919A5" w:rsidRPr="006919A5">
        <w:rPr>
          <w:rFonts w:ascii="Times New Roman" w:eastAsia="Calibri" w:hAnsi="Times New Roman" w:cs="Times New Roman"/>
          <w:sz w:val="28"/>
          <w:szCs w:val="28"/>
        </w:rPr>
        <w:t>сцинтиграфических</w:t>
      </w:r>
      <w:proofErr w:type="spellEnd"/>
      <w:r w:rsidR="006919A5" w:rsidRPr="006919A5">
        <w:rPr>
          <w:rFonts w:ascii="Times New Roman" w:eastAsia="Calibri" w:hAnsi="Times New Roman" w:cs="Times New Roman"/>
          <w:sz w:val="28"/>
          <w:szCs w:val="28"/>
        </w:rPr>
        <w:t xml:space="preserve"> исследований </w:t>
      </w:r>
      <w:r w:rsidR="00EC301A" w:rsidRPr="00EC301A">
        <w:rPr>
          <w:rFonts w:ascii="Times New Roman" w:eastAsia="Calibri" w:hAnsi="Times New Roman" w:cs="Times New Roman"/>
          <w:sz w:val="28"/>
          <w:szCs w:val="28"/>
        </w:rPr>
        <w:t xml:space="preserve">(далее – ПЭТ/КТ и ОФЭКТ/ОФЭКТ-КТ), </w:t>
      </w:r>
      <w:r w:rsidR="006919A5" w:rsidRPr="006919A5">
        <w:rPr>
          <w:rFonts w:ascii="Times New Roman" w:eastAsia="Calibri" w:hAnsi="Times New Roman" w:cs="Times New Roman"/>
          <w:sz w:val="28"/>
          <w:szCs w:val="28"/>
        </w:rPr>
        <w:t>неинвазивного пренатального тестирования (определение внеклеточной ДНК плода по крови матери), определения РНК-вируса гепатита С (</w:t>
      </w:r>
      <w:proofErr w:type="spellStart"/>
      <w:r w:rsidR="006919A5" w:rsidRPr="006919A5">
        <w:rPr>
          <w:rFonts w:ascii="Times New Roman" w:eastAsia="Calibri" w:hAnsi="Times New Roman" w:cs="Times New Roman"/>
          <w:sz w:val="28"/>
          <w:szCs w:val="28"/>
        </w:rPr>
        <w:t>Hepatitis</w:t>
      </w:r>
      <w:proofErr w:type="spellEnd"/>
      <w:r w:rsidR="006919A5" w:rsidRPr="006919A5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proofErr w:type="spellStart"/>
      <w:r w:rsidR="006919A5" w:rsidRPr="006919A5">
        <w:rPr>
          <w:rFonts w:ascii="Times New Roman" w:eastAsia="Calibri" w:hAnsi="Times New Roman" w:cs="Times New Roman"/>
          <w:sz w:val="28"/>
          <w:szCs w:val="28"/>
        </w:rPr>
        <w:t>virus</w:t>
      </w:r>
      <w:proofErr w:type="spellEnd"/>
      <w:r w:rsidR="006919A5" w:rsidRPr="006919A5">
        <w:rPr>
          <w:rFonts w:ascii="Times New Roman" w:eastAsia="Calibri" w:hAnsi="Times New Roman" w:cs="Times New Roman"/>
          <w:sz w:val="28"/>
          <w:szCs w:val="28"/>
        </w:rPr>
        <w:t>) в крови методом полимеразной цепной реакции, лабораторной диагностики для пациентов с хроническим вирусным гепатитом С (оценка стадии фиброза, определение генотипа вируса гепатита С)</w:t>
      </w:r>
      <w:r w:rsidR="006919A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6919A5" w:rsidRPr="006919A5">
        <w:rPr>
          <w:rFonts w:ascii="Times New Roman" w:eastAsia="Calibri" w:hAnsi="Times New Roman" w:cs="Times New Roman"/>
          <w:sz w:val="28"/>
          <w:szCs w:val="28"/>
        </w:rPr>
        <w:t xml:space="preserve">на ведение школ для больных с хроническими неинфекционными заболеваниями, в том числе с сахарным диабетом, школ для беременных и по вопросам грудного вскармливания, профилактических медицинских осмотров и диспансеризации, в том числе углубленной диспансеризации и диспансеризации взрослого населения репродуктивного </w:t>
      </w:r>
      <w:r w:rsidR="006919A5" w:rsidRPr="006919A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возраста по оценке репродуктивного здоровья, а также на оплату диспансерного наблюдения, включая диспансерное наблюдение работающих граждан и (или) обучающихся в образовательных организациях, посещений с профилактическими целями центров здоровья (центров медицины здорового долголетия), включая динамическое наблюдение за выявленными </w:t>
      </w:r>
      <w:proofErr w:type="spellStart"/>
      <w:r w:rsidR="006919A5" w:rsidRPr="006919A5">
        <w:rPr>
          <w:rFonts w:ascii="Times New Roman" w:eastAsia="Calibri" w:hAnsi="Times New Roman" w:cs="Times New Roman"/>
          <w:sz w:val="28"/>
          <w:szCs w:val="28"/>
        </w:rPr>
        <w:t>предрисками</w:t>
      </w:r>
      <w:proofErr w:type="spellEnd"/>
      <w:r w:rsidR="006919A5" w:rsidRPr="006919A5">
        <w:rPr>
          <w:rFonts w:ascii="Times New Roman" w:eastAsia="Calibri" w:hAnsi="Times New Roman" w:cs="Times New Roman"/>
          <w:sz w:val="28"/>
          <w:szCs w:val="28"/>
        </w:rPr>
        <w:t xml:space="preserve"> и факторами риска развития заболеваний, дистанционное наблюдение за состоянием здоровья пациентов с артериальной гипертензией и сахарным диабетом, медицинской помощи с применением телемедицинских технологий при дистанционном взаимодействии медицинских работников между собой, в том числе при проведении консилиумов врачей, и при дистанционном взаимодействии медицинских работников с пациентами или их законными представителями и финансовое обеспечение фельдшерско-акушерских пунктов (фельдшерских пунктов, фельдшерских здравпунктов</w:t>
      </w:r>
      <w:r w:rsidR="006919A5">
        <w:rPr>
          <w:rFonts w:ascii="Times New Roman" w:eastAsia="Calibri" w:hAnsi="Times New Roman" w:cs="Times New Roman"/>
          <w:sz w:val="28"/>
          <w:szCs w:val="28"/>
        </w:rPr>
        <w:t>)</w:t>
      </w:r>
      <w:r w:rsidRPr="00EC301A">
        <w:rPr>
          <w:rFonts w:ascii="Times New Roman" w:eastAsia="Calibri" w:hAnsi="Times New Roman" w:cs="Times New Roman"/>
          <w:sz w:val="28"/>
          <w:szCs w:val="28"/>
        </w:rPr>
        <w:t>, высокотехнологической медицинской помощи, а также расходы на оплату медицинской помощи, оказываемой застрахованным лицам за пределами субъекта Российской Федерации, на территории которого выдан пол</w:t>
      </w:r>
      <w:bookmarkStart w:id="0" w:name="_GoBack"/>
      <w:bookmarkEnd w:id="0"/>
      <w:r w:rsidRPr="00EC301A">
        <w:rPr>
          <w:rFonts w:ascii="Times New Roman" w:eastAsia="Calibri" w:hAnsi="Times New Roman" w:cs="Times New Roman"/>
          <w:sz w:val="28"/>
          <w:szCs w:val="28"/>
        </w:rPr>
        <w:t>ис обязательного медицинского страхования.</w:t>
      </w:r>
      <w:r w:rsidRPr="00EC301A">
        <w:rPr>
          <w:rFonts w:ascii="Calibri" w:eastAsia="Calibri" w:hAnsi="Calibri" w:cs="Times New Roman"/>
        </w:rPr>
        <w:t xml:space="preserve"> </w:t>
      </w:r>
    </w:p>
    <w:p w14:paraId="43969807" w14:textId="77777777" w:rsidR="00334BDB" w:rsidRPr="00EC301A" w:rsidRDefault="00334BDB" w:rsidP="00334B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301A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Pr="00EC301A">
        <w:rPr>
          <w:rFonts w:ascii="Times New Roman" w:eastAsia="Calibri" w:hAnsi="Times New Roman" w:cs="Times New Roman"/>
          <w:sz w:val="28"/>
          <w:szCs w:val="28"/>
        </w:rPr>
        <w:t>Вне подушевого норматива финансирования также оплачиваются: диспансеризация детей, проживающих в организациях социального обслуживания (детских домах-интернатах), предоставляющих социальные услуги в стационарной форме; 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форме; диспансерное наблюдение обучающихся в образовательных организациях (старше 18 лет).</w:t>
      </w:r>
    </w:p>
    <w:p w14:paraId="0353219C" w14:textId="77777777" w:rsidR="00334BDB" w:rsidRDefault="00334BDB" w:rsidP="00334B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К подушевому нормативу финансирования на прикрепившихся лиц таких МО с учетом расходов на содержание МО и оплату труда персонала исходя из расположения и отдаленности обслуживаемых территорий применяются следующие коэффициенты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 w:cs="Times New Roman"/>
                <w:sz w:val="28"/>
                <w:szCs w:val="28"/>
              </w:rPr>
              <m:t>КД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от</m:t>
            </m:r>
          </m:sub>
        </m:sSub>
      </m:oMath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273D01B7" w14:textId="77777777" w:rsidR="00334BDB" w:rsidRDefault="00334BDB" w:rsidP="00334B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 менее 1,113 для МО и их подразделений, обслуживающих до 20 тысяч человек;</w:t>
      </w:r>
    </w:p>
    <w:p w14:paraId="6A778B1E" w14:textId="77777777" w:rsidR="00334BDB" w:rsidRDefault="00334BDB" w:rsidP="00334B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 менее 1,04 для МО и их подразделений, обслуживающих свыше 20 тысяч человек.</w:t>
      </w:r>
    </w:p>
    <w:p w14:paraId="0720F33D" w14:textId="77777777" w:rsidR="00334BDB" w:rsidRPr="004D7B2A" w:rsidRDefault="00334BDB" w:rsidP="00334B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Также к подушевому нормативу финансирования на прикрепившихся лиц таких МО применяются,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4D7B2A">
        <w:rPr>
          <w:rFonts w:ascii="Times New Roman" w:eastAsia="Times New Roman" w:hAnsi="Times New Roman" w:cs="Times New Roman"/>
          <w:color w:val="000000"/>
          <w:sz w:val="28"/>
          <w:szCs w:val="28"/>
        </w:rPr>
        <w:t>оэффициент уровня расходов медицинских организаций (особенности плотности населения, транспортной доступности, климатических и географических особенностей, площади медицинской организации)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ур</m:t>
            </m:r>
          </m:sub>
          <m:sup/>
        </m:sSubSup>
      </m:oMath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proofErr w:type="spellStart"/>
      <w:r w:rsidRPr="004D7B2A">
        <w:rPr>
          <w:rFonts w:ascii="Times New Roman" w:eastAsia="Times New Roman" w:hAnsi="Times New Roman" w:cs="Times New Roman"/>
          <w:color w:val="000000"/>
          <w:sz w:val="28"/>
          <w:szCs w:val="28"/>
        </w:rPr>
        <w:t>оэффициент</w:t>
      </w:r>
      <w:proofErr w:type="spellEnd"/>
      <w:r w:rsidRPr="004D7B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достижения целевых показателей уровня заработной платы медицинских работников, предусмотренного "дорожными картами" развития здравоохранения в РТ, для i-той медицинской организации, </w:t>
      </w:r>
      <m:oMath>
        <m:sSubSup>
          <m:sSub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зп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i</m:t>
            </m:r>
          </m:sup>
        </m:sSubSup>
        <m:r>
          <w:rPr>
            <w:rFonts w:ascii="Cambria Math" w:eastAsia="Times New Roman" w:hAnsi="Cambria Math" w:cs="Times New Roman"/>
            <w:color w:val="000000"/>
            <w:sz w:val="24"/>
            <w:szCs w:val="24"/>
          </w:rPr>
          <m:t xml:space="preserve"> </m:t>
        </m:r>
      </m:oMath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Pr="004D7B2A">
        <w:rPr>
          <w:rFonts w:ascii="Times New Roman" w:eastAsia="Times New Roman" w:hAnsi="Times New Roman" w:cs="Times New Roman"/>
          <w:color w:val="000000"/>
          <w:sz w:val="28"/>
          <w:szCs w:val="28"/>
        </w:rPr>
        <w:t>оэффициент половозрастного состава,</w:t>
      </w:r>
      <m:oMath>
        <m:sSubSup>
          <m:sSub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пв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/>
              </w:rPr>
              <m:t>i</m:t>
            </m:r>
          </m:sup>
        </m:sSubSup>
      </m:oMath>
      <w:r w:rsidRPr="004D7B2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6202FDF" w14:textId="77777777" w:rsidR="00334BDB" w:rsidRDefault="00334BDB" w:rsidP="00334B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Итоговый объем финансового обеспечения МО по подушевому нормативу определяется с учетом стимулирующей части.</w:t>
      </w:r>
    </w:p>
    <w:p w14:paraId="6BD94724" w14:textId="77777777" w:rsidR="00334BDB" w:rsidRDefault="00334BDB" w:rsidP="00334B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Размер средств на стимулирующую часть составляет 1% от средств на финансовое обеспечение по подушевому нормативу медицинской помощи, оказанной в амбулаторных условиях.</w:t>
      </w:r>
    </w:p>
    <w:p w14:paraId="098B14B6" w14:textId="67876542" w:rsidR="00334BDB" w:rsidRDefault="00334BDB" w:rsidP="00334B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Размер подушевого норматива финансирования на прикрепившихся лиц, включая оплату медицинской помощи по всем видам и условиям предоставления медицинской помощи с учетом показателей результативности деятельности медицинской организации и на основе подушевого норматива финансирования оплата медицинской на 202</w:t>
      </w:r>
      <w:r w:rsidR="00377A2A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год, утверждены приложениями №№58-60 к настоящему Тарифному соглашению.</w:t>
      </w:r>
    </w:p>
    <w:p w14:paraId="37A63B7F" w14:textId="1080CD86" w:rsidR="00334BDB" w:rsidRPr="00295AF4" w:rsidRDefault="00334BDB" w:rsidP="00334BD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оказател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 результативности деятельности МО разделены на </w:t>
      </w:r>
      <w:r w:rsidR="00377A2A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блок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 в соответствии с приложени</w:t>
      </w:r>
      <w:r w:rsidR="00730D66">
        <w:rPr>
          <w:rFonts w:ascii="Times New Roman" w:eastAsia="Times New Roman" w:hAnsi="Times New Roman" w:cs="Times New Roman"/>
          <w:sz w:val="28"/>
          <w:szCs w:val="20"/>
          <w:lang w:eastAsia="ru-RU"/>
        </w:rPr>
        <w:t>ем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15 к Тарифному соглашению на 202</w:t>
      </w:r>
      <w:r w:rsidR="00377A2A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год, отражающих результативность оказания медицинской помощи (взрослому населению, детскому населению, акушерско-гинекологической помощи женщинам). Каждый показатель, включенный в блок, 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оценивается в баллах, которые суммируются. </w:t>
      </w:r>
    </w:p>
    <w:p w14:paraId="7F454582" w14:textId="52B27260" w:rsidR="00334BDB" w:rsidRPr="00295AF4" w:rsidRDefault="00334BDB" w:rsidP="00334BD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7. 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зависимости от результатов деятельности медицинской организации 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по каждому показателю определяется балл в диапазоне от 0 до </w:t>
      </w:r>
      <w:r w:rsidR="00377A2A">
        <w:rPr>
          <w:rFonts w:ascii="Times New Roman" w:eastAsia="Times New Roman" w:hAnsi="Times New Roman" w:cs="Times New Roman"/>
          <w:sz w:val="28"/>
          <w:szCs w:val="20"/>
          <w:lang w:eastAsia="ru-RU"/>
        </w:rPr>
        <w:t>9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баллов.</w:t>
      </w:r>
    </w:p>
    <w:p w14:paraId="1F888C48" w14:textId="77777777" w:rsidR="00334BDB" w:rsidRPr="00295AF4" w:rsidRDefault="00334BDB" w:rsidP="00334B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выполнившие до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0 процентов показателей, II – от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0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(включительно) 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до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0 процентов показателей, </w:t>
      </w:r>
      <w:r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свыше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0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(включительно) 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процентов показателей</w:t>
      </w:r>
      <w:r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14:paraId="547A69F7" w14:textId="77777777" w:rsidR="00334BDB" w:rsidRPr="00295AF4" w:rsidRDefault="00334BDB" w:rsidP="00334B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Оценка достижения значений показателей результативности деятельности медицинских организаций оформляется решением Комиссии, которое доводится до сведения медицинских организаций не позднее 25 числа месяца, следующего за отчетным периодом. </w:t>
      </w:r>
    </w:p>
    <w:p w14:paraId="77401154" w14:textId="77777777" w:rsidR="00334BDB" w:rsidRPr="00295AF4" w:rsidRDefault="00334BDB" w:rsidP="00334BDB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8. 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14:paraId="6FE5B33B" w14:textId="77777777" w:rsidR="00334BDB" w:rsidRPr="00295AF4" w:rsidRDefault="00334BDB" w:rsidP="00334B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95AF4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14:paraId="5A19D80A" w14:textId="77777777" w:rsidR="00334BDB" w:rsidRPr="00295AF4" w:rsidRDefault="00334BDB" w:rsidP="00334BDB">
      <w:pPr>
        <w:widowControl w:val="0"/>
        <w:autoSpaceDE w:val="0"/>
        <w:autoSpaceDN w:val="0"/>
        <w:spacing w:before="12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14:paraId="2C81F058" w14:textId="77777777" w:rsidR="00334BDB" w:rsidRPr="00295AF4" w:rsidRDefault="00334BDB" w:rsidP="00334B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FEE2B5A" w14:textId="77777777" w:rsidR="00334BDB" w:rsidRPr="00295AF4" w:rsidRDefault="006919A5" w:rsidP="00334B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, где:</w:t>
      </w:r>
    </w:p>
    <w:p w14:paraId="3F01C4D5" w14:textId="77777777" w:rsidR="00334BDB" w:rsidRPr="00295AF4" w:rsidRDefault="006919A5" w:rsidP="00334BDB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</w:t>
      </w:r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 xml:space="preserve">70 процентов от объема средств на стимулирование медицинских организаций за </w:t>
      </w:r>
      <w:r w:rsidR="00334BDB"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14:paraId="41E8EE81" w14:textId="77777777" w:rsidR="00334BDB" w:rsidRPr="00295AF4" w:rsidRDefault="006919A5" w:rsidP="00334BDB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334BDB"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14:paraId="20129D83" w14:textId="77777777" w:rsidR="00334BDB" w:rsidRPr="00295AF4" w:rsidRDefault="006919A5" w:rsidP="00334BDB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334BDB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334BDB" w:rsidRPr="00295A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334BDB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334BDB"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334BDB"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334BDB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316B7B" w14:textId="77777777" w:rsidR="00334BDB" w:rsidRPr="00295AF4" w:rsidRDefault="00334BDB" w:rsidP="00334BDB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95AF4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295AF4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295AF4">
        <w:rPr>
          <w:rFonts w:ascii="Times New Roman" w:eastAsia="Calibri" w:hAnsi="Times New Roman" w:cs="Times New Roman"/>
          <w:sz w:val="28"/>
          <w:szCs w:val="28"/>
        </w:rPr>
        <w:t xml:space="preserve">использовать среднюю численность за период. Например, при осуществлении выплат по итогам достижения показателей </w:t>
      </w:r>
      <w:r w:rsidRPr="00295AF4">
        <w:rPr>
          <w:rFonts w:ascii="Times New Roman" w:eastAsia="Calibri" w:hAnsi="Times New Roman" w:cs="Times New Roman"/>
          <w:sz w:val="28"/>
          <w:szCs w:val="28"/>
        </w:rPr>
        <w:lastRenderedPageBreak/>
        <w:t>результативности ежегодно среднюю численность рекомендуется рассчитывать по формуле:</w:t>
      </w:r>
    </w:p>
    <w:p w14:paraId="53F50CB3" w14:textId="77777777" w:rsidR="00334BDB" w:rsidRPr="00295AF4" w:rsidRDefault="00334BDB" w:rsidP="00334BDB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AF4FFA6" w14:textId="77777777" w:rsidR="00334BDB" w:rsidRPr="00295AF4" w:rsidRDefault="006919A5" w:rsidP="00334BD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b/>
                <w:sz w:val="28"/>
                <w:szCs w:val="20"/>
                <w:lang w:eastAsia="ru-RU"/>
              </w:rPr>
            </m:ctrlPr>
          </m:sSubSupPr>
          <m:e>
            <m:r>
              <m:rPr>
                <m:sty m:val="b"/>
              </m:rP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m:rPr>
                <m:sty m:val="b"/>
              </m:rP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m:rPr>
                <m:sty m:val="b"/>
              </m:rP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 w:eastAsia="Calibri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мес1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мес2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мес11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Ч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мес12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12</m:t>
            </m:r>
          </m:den>
        </m:f>
      </m:oMath>
      <w:r w:rsidR="00334BDB" w:rsidRPr="00295AF4">
        <w:rPr>
          <w:rFonts w:ascii="Times New Roman" w:eastAsia="Times New Roman" w:hAnsi="Times New Roman" w:cs="Times New Roman"/>
          <w:sz w:val="28"/>
          <w:szCs w:val="28"/>
        </w:rPr>
        <w:t>, где:</w:t>
      </w:r>
    </w:p>
    <w:p w14:paraId="24006E3B" w14:textId="77777777" w:rsidR="00334BDB" w:rsidRPr="00295AF4" w:rsidRDefault="006919A5" w:rsidP="00334BDB">
      <w:pPr>
        <w:spacing w:before="120" w:after="0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мес</m:t>
            </m:r>
          </m:sub>
        </m:sSub>
      </m:oMath>
      <w:r w:rsidR="00334BDB" w:rsidRPr="00295AF4">
        <w:rPr>
          <w:rFonts w:ascii="Times New Roman" w:eastAsia="Times New Roman" w:hAnsi="Times New Roman" w:cs="Times New Roman"/>
          <w:sz w:val="28"/>
          <w:szCs w:val="28"/>
        </w:rPr>
        <w:t xml:space="preserve">     среднегодовая численность прикрепленного населения к </w:t>
      </w:r>
      <w:proofErr w:type="spellStart"/>
      <w:r w:rsidR="00334BDB" w:rsidRPr="00295AF4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="00334BDB" w:rsidRPr="00295AF4">
        <w:rPr>
          <w:rFonts w:ascii="Times New Roman" w:eastAsia="Times New Roman" w:hAnsi="Times New Roman" w:cs="Times New Roman"/>
          <w:sz w:val="28"/>
          <w:szCs w:val="28"/>
        </w:rPr>
        <w:t xml:space="preserve">-той медицинской организации в </w:t>
      </w:r>
      <w:r w:rsidR="00334BDB" w:rsidRPr="00295AF4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="00334BDB" w:rsidRPr="00295AF4">
        <w:rPr>
          <w:rFonts w:ascii="Times New Roman" w:eastAsia="Times New Roman" w:hAnsi="Times New Roman" w:cs="Times New Roman"/>
          <w:sz w:val="28"/>
          <w:szCs w:val="28"/>
        </w:rPr>
        <w:t>-м году, человек;</w:t>
      </w:r>
    </w:p>
    <w:p w14:paraId="3F9188B4" w14:textId="77777777" w:rsidR="00334BDB" w:rsidRPr="00295AF4" w:rsidRDefault="006919A5" w:rsidP="00334BDB">
      <w:pPr>
        <w:spacing w:before="120" w:after="0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мес1</m:t>
            </m:r>
          </m:sub>
        </m:sSub>
      </m:oMath>
      <w:r w:rsidR="00334BDB" w:rsidRPr="00295AF4">
        <w:rPr>
          <w:rFonts w:ascii="Times New Roman" w:eastAsia="Times New Roman" w:hAnsi="Times New Roman" w:cs="Times New Roman"/>
          <w:sz w:val="28"/>
          <w:szCs w:val="28"/>
        </w:rPr>
        <w:t xml:space="preserve">    численность прикрепленного населения к </w:t>
      </w:r>
      <w:proofErr w:type="spellStart"/>
      <w:r w:rsidR="00334BDB" w:rsidRPr="00295AF4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="00334BDB" w:rsidRPr="00295AF4">
        <w:rPr>
          <w:rFonts w:ascii="Times New Roman" w:eastAsia="Times New Roman" w:hAnsi="Times New Roman" w:cs="Times New Roman"/>
          <w:sz w:val="28"/>
          <w:szCs w:val="28"/>
        </w:rPr>
        <w:t xml:space="preserve">-той медицинской организации по состоянию на 1 число первого месяца </w:t>
      </w:r>
      <w:r w:rsidR="00334BDB" w:rsidRPr="00295AF4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="00334BDB" w:rsidRPr="00295AF4">
        <w:rPr>
          <w:rFonts w:ascii="Times New Roman" w:eastAsia="Times New Roman" w:hAnsi="Times New Roman" w:cs="Times New Roman"/>
          <w:sz w:val="28"/>
          <w:szCs w:val="28"/>
        </w:rPr>
        <w:t>-го года, человек;</w:t>
      </w:r>
    </w:p>
    <w:p w14:paraId="4D362EDE" w14:textId="77777777" w:rsidR="00334BDB" w:rsidRPr="00295AF4" w:rsidRDefault="006919A5" w:rsidP="00334BDB">
      <w:pPr>
        <w:spacing w:before="120" w:after="0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мес2</m:t>
            </m:r>
          </m:sub>
        </m:sSub>
      </m:oMath>
      <w:r w:rsidR="00334BDB" w:rsidRPr="00295AF4">
        <w:rPr>
          <w:rFonts w:ascii="Times New Roman" w:eastAsia="Times New Roman" w:hAnsi="Times New Roman" w:cs="Times New Roman"/>
          <w:sz w:val="28"/>
          <w:szCs w:val="28"/>
        </w:rPr>
        <w:t xml:space="preserve">    ч</w:t>
      </w:r>
      <w:proofErr w:type="spellStart"/>
      <w:r w:rsidR="00334BDB" w:rsidRPr="00295AF4">
        <w:rPr>
          <w:rFonts w:ascii="Times New Roman" w:eastAsia="Times New Roman" w:hAnsi="Times New Roman" w:cs="Times New Roman"/>
          <w:sz w:val="28"/>
          <w:szCs w:val="28"/>
        </w:rPr>
        <w:t>исленность</w:t>
      </w:r>
      <w:proofErr w:type="spellEnd"/>
      <w:r w:rsidR="00334BDB" w:rsidRPr="00295AF4">
        <w:rPr>
          <w:rFonts w:ascii="Times New Roman" w:eastAsia="Times New Roman" w:hAnsi="Times New Roman" w:cs="Times New Roman"/>
          <w:sz w:val="28"/>
          <w:szCs w:val="28"/>
        </w:rPr>
        <w:t xml:space="preserve"> прикрепленного населения к </w:t>
      </w:r>
      <w:proofErr w:type="spellStart"/>
      <w:r w:rsidR="00334BDB" w:rsidRPr="00295AF4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="00334BDB" w:rsidRPr="00295AF4">
        <w:rPr>
          <w:rFonts w:ascii="Times New Roman" w:eastAsia="Times New Roman" w:hAnsi="Times New Roman" w:cs="Times New Roman"/>
          <w:sz w:val="28"/>
          <w:szCs w:val="28"/>
        </w:rPr>
        <w:t xml:space="preserve">-той медицинской организации по состоянию на 1 число второго месяца года, следующего за </w:t>
      </w:r>
      <w:r w:rsidR="00334BDB" w:rsidRPr="00295AF4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="00334BDB" w:rsidRPr="00295AF4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="00334BDB" w:rsidRPr="00295AF4">
        <w:rPr>
          <w:rFonts w:ascii="Times New Roman" w:eastAsia="Times New Roman" w:hAnsi="Times New Roman" w:cs="Times New Roman"/>
          <w:sz w:val="28"/>
          <w:szCs w:val="28"/>
        </w:rPr>
        <w:t>тым</w:t>
      </w:r>
      <w:proofErr w:type="spellEnd"/>
      <w:r w:rsidR="00334BDB" w:rsidRPr="00295AF4">
        <w:rPr>
          <w:rFonts w:ascii="Times New Roman" w:eastAsia="Times New Roman" w:hAnsi="Times New Roman" w:cs="Times New Roman"/>
          <w:sz w:val="28"/>
          <w:szCs w:val="28"/>
        </w:rPr>
        <w:t>, человек;</w:t>
      </w:r>
    </w:p>
    <w:p w14:paraId="32B0CD72" w14:textId="77777777" w:rsidR="00334BDB" w:rsidRPr="00295AF4" w:rsidRDefault="006919A5" w:rsidP="00334BDB">
      <w:pPr>
        <w:spacing w:before="120" w:after="0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мес11</m:t>
            </m:r>
          </m:sub>
        </m:sSub>
      </m:oMath>
      <w:r w:rsidR="00334BDB" w:rsidRPr="00295AF4">
        <w:rPr>
          <w:rFonts w:ascii="Times New Roman" w:eastAsia="Times New Roman" w:hAnsi="Times New Roman" w:cs="Times New Roman"/>
          <w:sz w:val="28"/>
          <w:szCs w:val="28"/>
        </w:rPr>
        <w:t xml:space="preserve">   численность прикрепленного населения к </w:t>
      </w:r>
      <w:proofErr w:type="spellStart"/>
      <w:r w:rsidR="00334BDB" w:rsidRPr="00295AF4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="00334BDB" w:rsidRPr="00295AF4">
        <w:rPr>
          <w:rFonts w:ascii="Times New Roman" w:eastAsia="Times New Roman" w:hAnsi="Times New Roman" w:cs="Times New Roman"/>
          <w:sz w:val="28"/>
          <w:szCs w:val="28"/>
        </w:rPr>
        <w:t xml:space="preserve">-той медицинской организации по состоянию на 1 число одиннадцатого месяца </w:t>
      </w:r>
      <w:r w:rsidR="00334BDB" w:rsidRPr="00295AF4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="00334BDB" w:rsidRPr="00295AF4">
        <w:rPr>
          <w:rFonts w:ascii="Times New Roman" w:eastAsia="Times New Roman" w:hAnsi="Times New Roman" w:cs="Times New Roman"/>
          <w:sz w:val="28"/>
          <w:szCs w:val="28"/>
        </w:rPr>
        <w:t>-го года, человек;</w:t>
      </w:r>
    </w:p>
    <w:p w14:paraId="43C65D3D" w14:textId="77777777" w:rsidR="00334BDB" w:rsidRDefault="006919A5" w:rsidP="00334BDB">
      <w:pPr>
        <w:spacing w:before="120" w:after="0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Ч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мес1</m:t>
            </m:r>
            <m:r>
              <m:rPr>
                <m:sty m:val="b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2</m:t>
            </m:r>
          </m:sub>
        </m:sSub>
      </m:oMath>
      <w:r w:rsidR="00334BDB" w:rsidRPr="00295AF4">
        <w:rPr>
          <w:rFonts w:ascii="Times New Roman" w:eastAsia="Times New Roman" w:hAnsi="Times New Roman" w:cs="Times New Roman"/>
          <w:sz w:val="28"/>
          <w:szCs w:val="28"/>
        </w:rPr>
        <w:t xml:space="preserve">   численность прикрепленного населения к </w:t>
      </w:r>
      <w:proofErr w:type="spellStart"/>
      <w:r w:rsidR="00334BDB" w:rsidRPr="00295AF4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="00334BDB" w:rsidRPr="00295AF4">
        <w:rPr>
          <w:rFonts w:ascii="Times New Roman" w:eastAsia="Times New Roman" w:hAnsi="Times New Roman" w:cs="Times New Roman"/>
          <w:sz w:val="28"/>
          <w:szCs w:val="28"/>
        </w:rPr>
        <w:t xml:space="preserve">-той медицинской организации по состоянию на 1 число двенадцатого месяца </w:t>
      </w:r>
      <w:r w:rsidR="00334BDB" w:rsidRPr="00295AF4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="00334BDB" w:rsidRPr="00295AF4">
        <w:rPr>
          <w:rFonts w:ascii="Times New Roman" w:eastAsia="Times New Roman" w:hAnsi="Times New Roman" w:cs="Times New Roman"/>
          <w:sz w:val="28"/>
          <w:szCs w:val="28"/>
        </w:rPr>
        <w:t>-го года, человек.</w:t>
      </w:r>
    </w:p>
    <w:p w14:paraId="2BF3CA4C" w14:textId="77777777" w:rsidR="00334BDB" w:rsidRPr="00295AF4" w:rsidRDefault="00334BDB" w:rsidP="00334BDB">
      <w:pPr>
        <w:spacing w:after="0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A496FB" w14:textId="77777777" w:rsidR="00334BDB" w:rsidRPr="00295AF4" w:rsidRDefault="00334BDB" w:rsidP="00334BD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295AF4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295AF4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295AF4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295AF4">
        <w:rPr>
          <w:rFonts w:ascii="Times New Roman" w:eastAsia="Calibri" w:hAnsi="Times New Roman" w:cs="Times New Roman"/>
          <w:sz w:val="28"/>
          <w:lang w:val="en-US"/>
        </w:rPr>
        <w:t>II</w:t>
      </w:r>
      <w:r w:rsidRPr="00295AF4">
        <w:rPr>
          <w:rFonts w:ascii="Times New Roman" w:eastAsia="Calibri" w:hAnsi="Times New Roman" w:cs="Times New Roman"/>
          <w:sz w:val="28"/>
        </w:rPr>
        <w:t xml:space="preserve"> и </w:t>
      </w:r>
      <w:r w:rsidRPr="00295AF4">
        <w:rPr>
          <w:rFonts w:ascii="Times New Roman" w:eastAsia="Calibri" w:hAnsi="Times New Roman" w:cs="Times New Roman"/>
          <w:sz w:val="28"/>
          <w:lang w:val="en-US"/>
        </w:rPr>
        <w:t>III</w:t>
      </w:r>
      <w:r w:rsidRPr="00295AF4">
        <w:rPr>
          <w:rFonts w:ascii="Times New Roman" w:eastAsia="Calibri" w:hAnsi="Times New Roman" w:cs="Times New Roman"/>
          <w:sz w:val="28"/>
        </w:rPr>
        <w:t xml:space="preserve"> групп</w:t>
      </w:r>
      <w:r w:rsidRPr="00295AF4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295AF4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295AF4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295AF4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295AF4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295AF4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</w:t>
      </w:r>
      <w:r w:rsidRPr="00295AF4">
        <w:rPr>
          <w:rFonts w:ascii="Times New Roman" w:eastAsia="Calibri" w:hAnsi="Times New Roman" w:cs="Times New Roman"/>
          <w:sz w:val="28"/>
        </w:rPr>
        <w:br/>
        <w:t>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295AF4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14:paraId="3F40FF10" w14:textId="77777777" w:rsidR="00334BDB" w:rsidRPr="00295AF4" w:rsidRDefault="006919A5" w:rsidP="00334BDB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, где</w:t>
      </w:r>
    </w:p>
    <w:p w14:paraId="3B85E786" w14:textId="77777777" w:rsidR="00334BDB" w:rsidRDefault="006919A5" w:rsidP="00334BDB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334BDB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334BDB" w:rsidRPr="00295A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334BDB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r w:rsidR="00334BDB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</w:t>
      </w:r>
      <w:proofErr w:type="spellStart"/>
      <w:r w:rsidR="00334BDB" w:rsidRPr="00295A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334BDB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334BDB"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334BDB"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14:paraId="1B0FC9F0" w14:textId="77777777" w:rsidR="00334BDB" w:rsidRPr="00295AF4" w:rsidRDefault="00334BDB" w:rsidP="00334BDB">
      <w:pPr>
        <w:widowControl w:val="0"/>
        <w:autoSpaceDE w:val="0"/>
        <w:autoSpaceDN w:val="0"/>
        <w:spacing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C2AFE3" w14:textId="77777777" w:rsidR="00334BDB" w:rsidRPr="00295AF4" w:rsidRDefault="00334BDB" w:rsidP="00334BD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95AF4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14:paraId="12E27E0B" w14:textId="77777777" w:rsidR="00334BDB" w:rsidRPr="00295AF4" w:rsidRDefault="00334BDB" w:rsidP="00334BD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</w:r>
      <w:r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14:paraId="160A3906" w14:textId="77777777" w:rsidR="00334BDB" w:rsidRPr="00295AF4" w:rsidRDefault="00334BDB" w:rsidP="00334BD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13A6A88" w14:textId="77777777" w:rsidR="00334BDB" w:rsidRPr="00295AF4" w:rsidRDefault="006919A5" w:rsidP="00334BD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14:paraId="5915A498" w14:textId="77777777" w:rsidR="00334BDB" w:rsidRPr="00295AF4" w:rsidRDefault="00334BDB" w:rsidP="00334BD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14:paraId="2E58361C" w14:textId="77777777" w:rsidR="00334BDB" w:rsidRPr="00295AF4" w:rsidRDefault="006919A5" w:rsidP="00334BDB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334BDB"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14:paraId="09209050" w14:textId="77777777" w:rsidR="00334BDB" w:rsidRPr="00295AF4" w:rsidRDefault="006919A5" w:rsidP="00334BDB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</w:t>
      </w:r>
      <w:proofErr w:type="spellStart"/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вокупный</w:t>
      </w:r>
      <w:proofErr w:type="spellEnd"/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объем средств на стимулирование медицинских организаций за </w:t>
      </w:r>
      <w:r w:rsidR="00334BDB"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14:paraId="414D131F" w14:textId="77777777" w:rsidR="00334BDB" w:rsidRPr="00295AF4" w:rsidRDefault="006919A5" w:rsidP="00334BDB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334BDB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баллов, набранных   в   </w:t>
      </w:r>
      <w:r w:rsidR="00334BDB" w:rsidRPr="00295A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334BDB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334BDB"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334BDB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4E35FBB" w14:textId="77777777" w:rsidR="00334BDB" w:rsidRPr="00295AF4" w:rsidRDefault="00334BDB" w:rsidP="00334BD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295AF4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295AF4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295AF4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295AF4">
        <w:rPr>
          <w:rFonts w:ascii="Times New Roman" w:eastAsia="Calibri" w:hAnsi="Times New Roman" w:cs="Times New Roman"/>
          <w:sz w:val="28"/>
        </w:rPr>
        <w:br/>
      </w:r>
      <w:r w:rsidRPr="00295AF4">
        <w:rPr>
          <w:rFonts w:ascii="Times New Roman" w:eastAsia="Calibri" w:hAnsi="Times New Roman" w:cs="Times New Roman"/>
          <w:sz w:val="28"/>
          <w:lang w:val="en-US"/>
        </w:rPr>
        <w:t>III</w:t>
      </w:r>
      <w:r w:rsidRPr="00295AF4">
        <w:rPr>
          <w:rFonts w:ascii="Times New Roman" w:eastAsia="Calibri" w:hAnsi="Times New Roman" w:cs="Times New Roman"/>
          <w:sz w:val="28"/>
        </w:rPr>
        <w:t xml:space="preserve"> группы</w:t>
      </w:r>
      <w:r w:rsidRPr="00295AF4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295AF4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295AF4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295AF4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295AF4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295AF4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295AF4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14:paraId="61DC701C" w14:textId="77777777" w:rsidR="00334BDB" w:rsidRPr="00295AF4" w:rsidRDefault="00334BDB" w:rsidP="00334BDB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14:paraId="60C5C094" w14:textId="77777777" w:rsidR="00334BDB" w:rsidRPr="00295AF4" w:rsidRDefault="006919A5" w:rsidP="00334BDB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sz w:val="32"/>
                    <w:szCs w:val="3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где:</w:t>
      </w:r>
    </w:p>
    <w:p w14:paraId="1D79E8E0" w14:textId="77777777" w:rsidR="00334BDB" w:rsidRDefault="006919A5" w:rsidP="00334BDB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334BDB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334BDB" w:rsidRPr="00295A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334BDB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334BDB" w:rsidRPr="00295AF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334BDB" w:rsidRPr="00295A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334BDB" w:rsidRPr="00295AF4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334BDB" w:rsidRPr="00295AF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14:paraId="68E79D8F" w14:textId="77777777" w:rsidR="00334BDB" w:rsidRPr="00295AF4" w:rsidRDefault="00334BDB" w:rsidP="00334BDB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945C08" w14:textId="77777777" w:rsidR="00334BDB" w:rsidRPr="00390B30" w:rsidRDefault="00334BDB" w:rsidP="00334B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0B30">
        <w:rPr>
          <w:rFonts w:ascii="Times New Roman" w:eastAsia="Calibri" w:hAnsi="Times New Roman" w:cs="Times New Roman"/>
          <w:color w:val="000000"/>
          <w:sz w:val="28"/>
          <w:szCs w:val="28"/>
        </w:rPr>
        <w:t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</w:t>
      </w:r>
    </w:p>
    <w:p w14:paraId="0E9B53A9" w14:textId="77777777" w:rsidR="00334BDB" w:rsidRPr="00390B30" w:rsidRDefault="00334BDB" w:rsidP="00334B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0B30">
        <w:rPr>
          <w:rFonts w:ascii="Times New Roman" w:eastAsia="Calibri" w:hAnsi="Times New Roman" w:cs="Times New Roman"/>
          <w:color w:val="000000"/>
          <w:sz w:val="28"/>
          <w:szCs w:val="28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 w:rsidRPr="00390B30">
        <w:rPr>
          <w:rFonts w:ascii="Times New Roman" w:eastAsia="Calibri" w:hAnsi="Times New Roman" w:cs="Times New Roman"/>
          <w:color w:val="000000"/>
          <w:sz w:val="28"/>
          <w:szCs w:val="28"/>
        </w:rPr>
        <w:t>тый</w:t>
      </w:r>
      <w:proofErr w:type="spellEnd"/>
      <w:r w:rsidRPr="00390B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 w:rsidRPr="00390B30">
        <w:rPr>
          <w:rFonts w:ascii="Times New Roman" w:eastAsia="Calibri" w:hAnsi="Times New Roman" w:cs="Times New Roman"/>
          <w:color w:val="000000"/>
          <w:sz w:val="28"/>
          <w:szCs w:val="28"/>
        </w:rPr>
        <w:t>тый</w:t>
      </w:r>
      <w:proofErr w:type="spellEnd"/>
      <w:r w:rsidRPr="00390B3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период  –  равняется нулю.</w:t>
      </w:r>
    </w:p>
    <w:p w14:paraId="2CC77817" w14:textId="77777777" w:rsidR="00EC301A" w:rsidRPr="00730D66" w:rsidRDefault="00EC301A" w:rsidP="00EC301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0D66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О</w:t>
      </w:r>
      <w:r w:rsidRPr="00730D66">
        <w:rPr>
          <w:rFonts w:ascii="Times New Roman" w:eastAsia="Aptos" w:hAnsi="Times New Roman" w:cs="Times New Roman"/>
          <w:bCs/>
          <w:sz w:val="28"/>
          <w:szCs w:val="28"/>
        </w:rPr>
        <w:t>существление выплат стимулирующего характера ме</w:t>
      </w:r>
      <w:r w:rsidRPr="00730D66">
        <w:rPr>
          <w:rFonts w:ascii="Times New Roman" w:eastAsia="Aptos" w:hAnsi="Times New Roman" w:cs="Times New Roman"/>
          <w:sz w:val="28"/>
          <w:szCs w:val="28"/>
        </w:rPr>
        <w:t>дицинской организации, оказывающей медицинскую помощь в амбулаторных условиях, по результатам оценки ее деятельности, следует производить в полном объеме при условии снижения показателей смертности прикрепленного к ней населения в возрасте от 30 до 69 лет (за исключением смертности от внешних причин) и (или) смертности детей в возрасте от 0 - 17 лет (за исключением смертности от внешних причин) (далее - показатели смертности прикрепленного населения (взрослого и детского), а также фактического выполнения не менее 90 процентов,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14:paraId="7B56C339" w14:textId="77777777" w:rsidR="00EC301A" w:rsidRPr="00730D66" w:rsidRDefault="00EC301A" w:rsidP="00EC3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ptos" w:hAnsi="Times New Roman" w:cs="Times New Roman"/>
          <w:sz w:val="28"/>
          <w:szCs w:val="28"/>
        </w:rPr>
      </w:pPr>
      <w:bookmarkStart w:id="1" w:name="_Hlk185498057"/>
      <w:bookmarkStart w:id="2" w:name="_Hlk169857023"/>
      <w:r w:rsidRPr="00730D66">
        <w:rPr>
          <w:rFonts w:ascii="Times New Roman" w:eastAsia="Aptos" w:hAnsi="Times New Roman" w:cs="Times New Roman"/>
          <w:sz w:val="28"/>
          <w:szCs w:val="28"/>
        </w:rPr>
        <w:t xml:space="preserve">В случае, если не достигнуто снижение вышеуказанных показателей смертности </w:t>
      </w:r>
      <w:bookmarkStart w:id="3" w:name="_Hlk169856356"/>
      <w:r w:rsidRPr="00730D66">
        <w:rPr>
          <w:rFonts w:ascii="Times New Roman" w:eastAsia="Aptos" w:hAnsi="Times New Roman" w:cs="Times New Roman"/>
          <w:sz w:val="28"/>
          <w:szCs w:val="28"/>
        </w:rPr>
        <w:t xml:space="preserve">прикрепленного населения (взрослого и детского) </w:t>
      </w:r>
      <w:bookmarkEnd w:id="3"/>
      <w:r w:rsidRPr="00730D66">
        <w:rPr>
          <w:rFonts w:ascii="Times New Roman" w:eastAsia="Aptos" w:hAnsi="Times New Roman" w:cs="Times New Roman"/>
          <w:sz w:val="28"/>
          <w:szCs w:val="28"/>
        </w:rPr>
        <w:t xml:space="preserve">и выполнения медицинской организацией менее 90 процентов указанного объема медицинской помощи </w:t>
      </w:r>
      <w:bookmarkEnd w:id="1"/>
      <w:r w:rsidRPr="00730D66">
        <w:rPr>
          <w:rFonts w:ascii="Times New Roman" w:eastAsia="Aptos" w:hAnsi="Times New Roman" w:cs="Times New Roman"/>
          <w:sz w:val="28"/>
          <w:szCs w:val="28"/>
        </w:rPr>
        <w:t>применяется понижающий коэффициент 0,8.</w:t>
      </w:r>
    </w:p>
    <w:p w14:paraId="4A8C5CBD" w14:textId="77777777" w:rsidR="00EC301A" w:rsidRPr="00730D66" w:rsidRDefault="00EC301A" w:rsidP="00EC301A">
      <w:pPr>
        <w:widowControl w:val="0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730D6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 случае, если в предшествующем и текущем периодах показатель смертности </w:t>
      </w:r>
      <w:r w:rsidRPr="00730D66">
        <w:rPr>
          <w:rFonts w:ascii="Times New Roman" w:eastAsia="Aptos" w:hAnsi="Times New Roman" w:cs="Times New Roman"/>
          <w:sz w:val="28"/>
          <w:szCs w:val="28"/>
        </w:rPr>
        <w:t xml:space="preserve">прикрепленного населения (взрослого и (или) детского) </w:t>
      </w:r>
      <w:r w:rsidRPr="00730D6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равен 0, а выполнение медицинской организацией 90 процентов и более указанных объемов медицинской помощи выплаты стимулирующего характера </w:t>
      </w:r>
      <w:r w:rsidRPr="00730D6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производятся без учета данного показателя.</w:t>
      </w:r>
    </w:p>
    <w:p w14:paraId="05CEA265" w14:textId="77777777" w:rsidR="00EC301A" w:rsidRPr="00730D66" w:rsidRDefault="00EC301A" w:rsidP="00EC301A">
      <w:pPr>
        <w:widowControl w:val="0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730D6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случае, если достигнуто снижение показателей смертности прикрепленного населения (взрослого и (или) детей), а выполнение медицинской организацией менее 90 процентов указанных объемов медицинской помощи, при расчете размера выплат стимулирующего характера применяется понижающий коэффициент 0,9.</w:t>
      </w:r>
    </w:p>
    <w:p w14:paraId="6338A719" w14:textId="77777777" w:rsidR="00EC301A" w:rsidRPr="00730D66" w:rsidRDefault="00EC301A" w:rsidP="00EC301A">
      <w:pPr>
        <w:widowControl w:val="0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Cs w:val="20"/>
          <w:lang w:eastAsia="ru-RU"/>
        </w:rPr>
      </w:pPr>
      <w:r w:rsidRPr="00730D66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случае, если не достигнуто снижение показателей смертности прикрепленного населения (взрослого населения и (или) детей), а выполнение медицинской организацией 90 процентов и более указанных объемов медицинской помощи, при расчете размера выплат стимулирующего характера применяется понижающий коэффициент 0,9.</w:t>
      </w:r>
    </w:p>
    <w:p w14:paraId="38495BE8" w14:textId="77777777" w:rsidR="00EC301A" w:rsidRPr="00730D66" w:rsidRDefault="00EC301A" w:rsidP="00EC30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Aptos" w:hAnsi="Times New Roman" w:cs="Times New Roman"/>
          <w:sz w:val="28"/>
          <w:szCs w:val="28"/>
        </w:rPr>
      </w:pPr>
      <w:r w:rsidRPr="00730D66">
        <w:rPr>
          <w:rFonts w:ascii="Times New Roman" w:eastAsia="Aptos" w:hAnsi="Times New Roman" w:cs="Times New Roman"/>
          <w:sz w:val="28"/>
          <w:szCs w:val="28"/>
        </w:rPr>
        <w:t>Объем средств, предусмотренных на стимулирующие выплаты, не распределенный между медицинскими организациями II и III группы в результате применения вышеуказанных понижающих коэффициентов 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</w:t>
      </w:r>
      <w:bookmarkEnd w:id="2"/>
      <w:r w:rsidRPr="00730D66">
        <w:rPr>
          <w:rFonts w:ascii="Times New Roman" w:eastAsia="Aptos" w:hAnsi="Times New Roman" w:cs="Times New Roman"/>
          <w:sz w:val="28"/>
          <w:szCs w:val="28"/>
        </w:rPr>
        <w:t>.</w:t>
      </w:r>
    </w:p>
    <w:p w14:paraId="2E69BB1D" w14:textId="69469071" w:rsidR="00334BDB" w:rsidRPr="00730D66" w:rsidRDefault="00334BDB" w:rsidP="00EC30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30D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9. </w:t>
      </w:r>
      <w:r w:rsidR="00EC301A" w:rsidRPr="00730D66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предусмотренных на стимулирующие выплаты, не распределенных между медицинскими организациями II и III группы в результате применения вышеуказанных понижающих коэффициентов к размеру стимулирующих выплат, распределяется между указанными медицинскими организациями пропорционально размеру стимулирующих выплат с учетом вышеуказанных понижающих коэффициентов.</w:t>
      </w:r>
      <w:r w:rsidRPr="00730D6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14:paraId="293C0BB9" w14:textId="77777777" w:rsidR="00334BDB" w:rsidRDefault="00334BDB" w:rsidP="00334BD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10. В случае, когда один или несколько показателей результативности неприменимы для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соответстующей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МО и (или) отчетного периода, суммарный максимальный балл и итоговый коэффициент для соответствующей МО рассчитывается без учета таких показателей.</w:t>
      </w:r>
    </w:p>
    <w:p w14:paraId="7F9A76EB" w14:textId="77777777" w:rsidR="00334BDB" w:rsidRPr="00C040E4" w:rsidRDefault="00334BDB" w:rsidP="00334B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11.</w:t>
      </w:r>
      <w:r w:rsidRPr="00115D6B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 xml:space="preserve"> </w:t>
      </w:r>
      <w:r w:rsidRPr="00C040E4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производится по итогам года.</w:t>
      </w:r>
      <w:r w:rsidRPr="00C040E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</w:p>
    <w:p w14:paraId="63D116D8" w14:textId="77777777" w:rsidR="00334BDB" w:rsidRPr="00390B30" w:rsidRDefault="00334BDB" w:rsidP="00334B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C040E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При этом выплаты по итогам года распределяются на основе сведений об оказанной медицинской помощи за период декабрь предыдущего года </w:t>
      </w:r>
      <w:r w:rsidRPr="00C040E4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noBreakHyphen/>
        <w:t xml:space="preserve"> ноябрь текущего года (включительно) и включаются в счет за ноябрь.</w:t>
      </w:r>
    </w:p>
    <w:p w14:paraId="676657E0" w14:textId="77777777" w:rsidR="00334BDB" w:rsidRDefault="00334BDB" w:rsidP="00334BDB">
      <w:pPr>
        <w:widowControl w:val="0"/>
        <w:autoSpaceDE w:val="0"/>
        <w:autoSpaceDN w:val="0"/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 xml:space="preserve">12.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достижения целевых значений показателей результативности деятельности МО проводится Комиссией, но не чаще одного раза в квартал.</w:t>
      </w:r>
    </w:p>
    <w:p w14:paraId="74EE1A8C" w14:textId="77777777" w:rsidR="00334BDB" w:rsidRDefault="00334BDB" w:rsidP="00310D7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7D32EE8F" w14:textId="77777777" w:rsidR="00334BDB" w:rsidRDefault="00334BDB" w:rsidP="00310D7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0C2577B6" w14:textId="77777777" w:rsidR="00334BDB" w:rsidRDefault="00334BDB" w:rsidP="00310D7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62F89BFC" w14:textId="77777777" w:rsidR="00334BDB" w:rsidRDefault="00334BDB" w:rsidP="00310D7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65C933FC" w14:textId="77777777" w:rsidR="00334BDB" w:rsidRDefault="00334BDB" w:rsidP="00310D7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0820F9F1" w14:textId="77777777" w:rsidR="00334BDB" w:rsidRDefault="00334BDB" w:rsidP="00310D7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3DF53048" w14:textId="77777777" w:rsidR="00334BDB" w:rsidRDefault="00334BDB" w:rsidP="00310D7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sectPr w:rsidR="00334BDB" w:rsidSect="00C87BDF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69E"/>
    <w:rsid w:val="00115D6B"/>
    <w:rsid w:val="00116117"/>
    <w:rsid w:val="001711F0"/>
    <w:rsid w:val="0018704D"/>
    <w:rsid w:val="001E6F0D"/>
    <w:rsid w:val="00310D7E"/>
    <w:rsid w:val="00334BDB"/>
    <w:rsid w:val="00377A2A"/>
    <w:rsid w:val="00390B30"/>
    <w:rsid w:val="00474F98"/>
    <w:rsid w:val="004D269E"/>
    <w:rsid w:val="004D7B2A"/>
    <w:rsid w:val="00562F6E"/>
    <w:rsid w:val="006919A5"/>
    <w:rsid w:val="00730D66"/>
    <w:rsid w:val="00752341"/>
    <w:rsid w:val="007E733C"/>
    <w:rsid w:val="00925E0B"/>
    <w:rsid w:val="00A65CCF"/>
    <w:rsid w:val="00B37B2E"/>
    <w:rsid w:val="00B6773B"/>
    <w:rsid w:val="00C040E4"/>
    <w:rsid w:val="00C67BF5"/>
    <w:rsid w:val="00C87BDF"/>
    <w:rsid w:val="00D168AB"/>
    <w:rsid w:val="00E53254"/>
    <w:rsid w:val="00EC301A"/>
    <w:rsid w:val="00F354F7"/>
    <w:rsid w:val="00FB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5E11B"/>
  <w15:chartTrackingRefBased/>
  <w15:docId w15:val="{A33C4395-D1DF-4737-8FF4-8E8E8C6ED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2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2559</Words>
  <Characters>14588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Артыш Кызыл-оол</dc:creator>
  <cp:keywords/>
  <dc:description/>
  <cp:lastModifiedBy>Онермаа Монгуш</cp:lastModifiedBy>
  <cp:revision>18</cp:revision>
  <dcterms:created xsi:type="dcterms:W3CDTF">2022-01-28T04:53:00Z</dcterms:created>
  <dcterms:modified xsi:type="dcterms:W3CDTF">2026-01-14T07:42:00Z</dcterms:modified>
</cp:coreProperties>
</file>